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_rels/document.xml.rels" ContentType="application/vnd.openxmlformats-package.relationships+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spacing w:before="240" w:after="120"/>
        <w:jc w:val="center"/>
        <w:rPr/>
      </w:pPr>
      <w:r>
        <w:rPr/>
        <w:t>The Gospel of Matthew 1</w:t>
      </w:r>
      <w:r>
        <w:rPr/>
        <w:t>5</w:t>
      </w:r>
    </w:p>
    <w:p>
      <w:pPr>
        <w:pStyle w:val="Normal"/>
        <w:bidi w:val="0"/>
        <w:jc w:val="start"/>
        <w:rPr/>
      </w:pPr>
      <w:r>
        <w:rPr/>
      </w:r>
    </w:p>
    <w:p>
      <w:pPr>
        <w:pStyle w:val="Heading3"/>
        <w:numPr>
          <w:ilvl w:val="2"/>
          <w:numId w:val="1"/>
        </w:numPr>
        <w:ind w:hanging="0" w:start="0"/>
        <w:jc w:val="both"/>
        <w:rPr/>
      </w:pPr>
      <w:r>
        <w:rPr>
          <w:rStyle w:val="Emphasis"/>
        </w:rPr>
        <w:t xml:space="preserve">Matthew Chapter 15 </w:t>
      </w:r>
    </w:p>
    <w:p>
      <w:pPr>
        <w:pStyle w:val="Heading2"/>
        <w:numPr>
          <w:ilvl w:val="2"/>
          <w:numId w:val="1"/>
        </w:numPr>
        <w:bidi w:val="0"/>
        <w:ind w:hanging="0" w:start="0"/>
        <w:jc w:val="both"/>
        <w:rPr/>
      </w:pPr>
      <w:r>
        <w:rPr>
          <w:rStyle w:val="Emphasis"/>
          <w:rFonts w:ascii="Liberation Serif" w:hAnsi="Liberation Serif"/>
          <w:i w:val="false"/>
          <w:iCs w:val="false"/>
          <w:sz w:val="24"/>
          <w:szCs w:val="24"/>
        </w:rPr>
        <w:t>Recap - Video</w:t>
      </w:r>
    </w:p>
    <w:p>
      <w:pPr>
        <w:pStyle w:val="BodyText"/>
        <w:jc w:val="both"/>
        <w:rPr/>
      </w:pPr>
      <w:r>
        <w:rPr/>
      </w:r>
    </w:p>
    <w:p>
      <w:pPr>
        <w:pStyle w:val="BodyText"/>
        <w:jc w:val="both"/>
        <w:rPr/>
      </w:pPr>
      <w:r>
        <w:rPr/>
        <w:t xml:space="preserve">The Pharisees’ traditions of interpretation of the Law circulated orally; they believed these traditions were given with the written law on Mt. Sinai and were therefore similarly binding. Thus, when Jesus’ disciples fail to wash their hands before eating, they are breaking the Pharisaic oral tradition (Matthew calls this the “tradition of the elders”), not the written law. Jesus’ response to the Pharisees’ objections is to draw their attention to the written law (Exod. 20:12 and Deut. 5:16 in Matt. 15:4a, and Lev. 20:9 in Matt. 15:4b), and to declare that what actually defiles a person is what comes from the heart (15:18-20). Still, this is not a total disavowal of Jewish Law or cultic practices. </w:t>
      </w:r>
    </w:p>
    <w:p>
      <w:pPr>
        <w:pStyle w:val="BodyText"/>
        <w:rPr>
          <w:i/>
          <w:i/>
          <w:iCs/>
        </w:rPr>
      </w:pPr>
      <w:r>
        <w:rPr>
          <w:i/>
          <w:iCs/>
        </w:rPr>
        <w:t xml:space="preserve">You may be surprised that the scribes and Pharisees make such a fuss here about the disciples not washing their hands before a meal (v. 2). We need to remember that for the Jewish leaders, the issue here was not one of personal hygiene, but the deeper problem of religious or ceremonial purity. They were right to believe that people need to be clean to enter God’s presence, but they were gravely mistaken to think the real pollution was on the outside. Indeed, that is the essential problem with hypocrisy. It focuses on externals and neglects the heart. The religious leaders had invented many extra laws, ostensibly to keep the people pure, but these laws often had the opposite effect; they actually served to make them selfish. </w:t>
      </w:r>
    </w:p>
    <w:p>
      <w:pPr>
        <w:pStyle w:val="BodyText"/>
        <w:rPr>
          <w:i/>
          <w:i/>
          <w:iCs/>
        </w:rPr>
      </w:pPr>
      <w:r>
        <w:rPr>
          <w:i/>
          <w:iCs/>
        </w:rPr>
        <w:t>For example, in “adding’ to the command to honour one’s parents, they actually subtracted from it (vv. 4-6). This command enjoins upon children a lifelong obligation to love and care for their parents (Exodus 20:12; 21:17). However, the religious lawyers had invented a tradition called “devoted to God’ (v. 5). An adult son could now say to his needy parent, “I would love to help pay for your medical bills, but I have just dedicated all my savings to the Lord’s service” (see Mark 7:11-12). This provided a loophole for Jews to shirk their responsibility towards their needy parents. Jesus regularly exposed this selfishness masquerading as piety. Jesus then goes to the heart of the issue, and that is the polluted human heart (vv. 10-11). At the core of every human being, a contaminated spring gushes forth, poisoning our personality, relationships, attitudes, desires, and actions. That is the great moral and spiritual pollutant, not unwashed hands or different kinds of food and drink (vv. 16-20). The problem is on the inside, and that is where the solution must be found. We need a new heart. Jesus not only diagnosed the basic human problem, but also went on to deal with it. On the cross, He cleansed us from our sins and brought lasting purification. Then, by His Spirit, He gave His people a new heart with new motivations, attitudes, and desires (Deuteronomy 30:6; Ezekiel 36:26-27).</w:t>
      </w:r>
    </w:p>
    <w:p>
      <w:pPr>
        <w:pStyle w:val="BodyText"/>
        <w:rPr/>
      </w:pPr>
      <w:r>
        <w:rPr/>
      </w:r>
    </w:p>
    <w:p>
      <w:pPr>
        <w:pStyle w:val="Heading3"/>
        <w:numPr>
          <w:ilvl w:val="0"/>
          <w:numId w:val="0"/>
        </w:numPr>
        <w:bidi w:val="0"/>
        <w:ind w:hanging="0" w:start="0"/>
        <w:jc w:val="both"/>
        <w:rPr/>
      </w:pPr>
      <w:r>
        <w:rPr/>
        <w:t>Questions (Journey Through):</w:t>
      </w:r>
    </w:p>
    <w:p>
      <w:pPr>
        <w:pStyle w:val="Normal"/>
        <w:bidi w:val="0"/>
        <w:jc w:val="both"/>
        <w:rPr>
          <w:i/>
          <w:i/>
          <w:iCs/>
        </w:rPr>
      </w:pPr>
      <w:r>
        <w:rPr>
          <w:b w:val="false"/>
          <w:i/>
          <w:iCs/>
        </w:rPr>
        <w:t>So much of human religion deals with externals. What makes the Christian faith a “religion of the heart”?</w:t>
      </w:r>
    </w:p>
    <w:p>
      <w:pPr>
        <w:pStyle w:val="Normal"/>
        <w:bidi w:val="0"/>
        <w:jc w:val="both"/>
        <w:rPr>
          <w:i/>
          <w:i/>
          <w:iCs/>
        </w:rPr>
      </w:pPr>
      <w:r>
        <w:rPr>
          <w:i/>
          <w:iCs/>
        </w:rPr>
      </w:r>
    </w:p>
    <w:p>
      <w:pPr>
        <w:pStyle w:val="Normal"/>
        <w:bidi w:val="0"/>
        <w:jc w:val="both"/>
        <w:rPr>
          <w:i/>
          <w:i/>
          <w:iCs/>
        </w:rPr>
      </w:pPr>
      <w:r>
        <w:rPr/>
      </w:r>
    </w:p>
    <w:p>
      <w:pPr>
        <w:pStyle w:val="BodyText"/>
        <w:jc w:val="both"/>
        <w:rPr/>
      </w:pPr>
      <w:r>
        <w:rPr/>
      </w:r>
    </w:p>
    <w:p>
      <w:pPr>
        <w:pStyle w:val="BodyText"/>
        <w:jc w:val="both"/>
        <w:rPr/>
      </w:pPr>
      <w:r>
        <w:rPr/>
      </w:r>
    </w:p>
    <w:p>
      <w:pPr>
        <w:pStyle w:val="Heading2"/>
        <w:numPr>
          <w:ilvl w:val="2"/>
          <w:numId w:val="1"/>
        </w:numPr>
        <w:bidi w:val="0"/>
        <w:ind w:hanging="0" w:start="0"/>
        <w:jc w:val="both"/>
        <w:rPr/>
      </w:pPr>
      <w:r>
        <w:rPr>
          <w:rStyle w:val="Emphasis"/>
          <w:rFonts w:ascii="Liberation Serif" w:hAnsi="Liberation Serif"/>
          <w:i w:val="false"/>
          <w:iCs w:val="false"/>
          <w:sz w:val="24"/>
          <w:szCs w:val="24"/>
        </w:rPr>
        <w:t>The Faith of a Canaanite Woman</w:t>
      </w:r>
    </w:p>
    <w:p>
      <w:pPr>
        <w:pStyle w:val="BodyText"/>
        <w:numPr>
          <w:ilvl w:val="2"/>
          <w:numId w:val="1"/>
        </w:numPr>
        <w:bidi w:val="0"/>
        <w:ind w:hanging="0" w:start="0"/>
        <w:jc w:val="both"/>
        <w:rPr/>
      </w:pPr>
      <w:r>
        <w:rPr>
          <w:rStyle w:val="Emphasis"/>
          <w:i w:val="false"/>
          <w:iCs w:val="false"/>
          <w:sz w:val="24"/>
          <w:szCs w:val="24"/>
        </w:rPr>
        <w:t>The second half of chapter 15 recounts another series of miracles. As Jesus moves into the Gentile territory of Tyre and Sidon, a “Canaanite” woman asks Jesus to cure her demon-possessed daughter. The label “Canaanite,” drawn from Old Testament depictions of ancient Israel’s enemies (Deut. 7:1), indicates that she is a Gentile. This story has troubled interpreters, since the response to the woman by Jesus and his disciples seems less than compassionate. When turning her away does not silence her (15:23), Jesus insists again that he has come “only to the lost sheep of the house of Israel” (15:24; cf. 9:36; 10:6), and calls the woman a dog (15:26). The woman, courageously refusing to be rebuffed, reinterprets Jesus’ demeaning metaphor and ultimately changes his mind (15:27-28).</w:t>
      </w:r>
    </w:p>
    <w:p>
      <w:pPr>
        <w:pStyle w:val="Normal"/>
        <w:jc w:val="both"/>
        <w:rPr/>
      </w:pPr>
      <w:r>
        <w:rPr/>
      </w:r>
    </w:p>
    <w:p>
      <w:pPr>
        <w:pStyle w:val="Normal"/>
        <w:jc w:val="both"/>
        <w:rPr>
          <w:i/>
          <w:i/>
          <w:iCs/>
        </w:rPr>
      </w:pPr>
      <w:r>
        <w:rPr>
          <w:i/>
          <w:iCs/>
        </w:rPr>
        <w:t xml:space="preserve">While the expression “dog” is a harsh one (v. 26), the woman seems to discern that Jesus will grant her request. She is a remarkable woman. Her reply to Jesus (v. 27) is full of wit, wisdom, and faith; Jesus acknowledges this. Indeed, she is the second person in the gospel that Jesus has verbally commended for great faith-and both are Gentiles (cf. Matthew 8:10). </w:t>
      </w:r>
    </w:p>
    <w:p>
      <w:pPr>
        <w:pStyle w:val="Heading2"/>
        <w:numPr>
          <w:ilvl w:val="2"/>
          <w:numId w:val="1"/>
        </w:numPr>
        <w:bidi w:val="0"/>
        <w:ind w:hanging="0" w:start="0"/>
        <w:jc w:val="both"/>
        <w:rPr/>
      </w:pPr>
      <w:r>
        <w:rPr>
          <w:rStyle w:val="Emphasis"/>
          <w:rFonts w:ascii="Liberation Serif" w:hAnsi="Liberation Serif"/>
          <w:i w:val="false"/>
          <w:iCs w:val="false"/>
          <w:sz w:val="24"/>
          <w:szCs w:val="24"/>
        </w:rPr>
        <w:t>Jesus Feeds the Four Thousand</w:t>
      </w:r>
    </w:p>
    <w:p>
      <w:pPr>
        <w:pStyle w:val="Normal"/>
        <w:jc w:val="both"/>
        <w:rPr/>
      </w:pPr>
      <w:r>
        <w:rPr/>
      </w:r>
    </w:p>
    <w:p>
      <w:pPr>
        <w:pStyle w:val="BodyText"/>
        <w:jc w:val="both"/>
        <w:rPr/>
      </w:pPr>
      <w:r>
        <w:rPr/>
        <w:t>A second miraculous multiplication of loaves (Matt. 15:32-39) represents another case of Matthean doubling. The repetition reinforces the themes established in the previous feeding episode: Jesus’ provision, the abundance of God’s kingdom, the promise that God satisfies the hungry, etc. However, the differences are also instructive. The major variation from the previous story is that the disciples pick up seven, rather than twelve, baskets of leftovers. Some interpreters argue that if twelve in the earlier version symbolizes the people of Israel, then seven here stands for Gentiles. Based on ancient associations of the number seven with wholeness and completion, such interpreters conclude that the seven baskets suggest that when Gentiles are included, the kingdom of God will be complete.</w:t>
      </w:r>
    </w:p>
    <w:p>
      <w:pPr>
        <w:pStyle w:val="Heading3"/>
        <w:numPr>
          <w:ilvl w:val="0"/>
          <w:numId w:val="0"/>
        </w:numPr>
        <w:bidi w:val="0"/>
        <w:ind w:hanging="0" w:start="0"/>
        <w:jc w:val="both"/>
        <w:rPr/>
      </w:pPr>
      <w:r>
        <w:rPr/>
        <w:t>Questions (Journey Through):</w:t>
      </w:r>
    </w:p>
    <w:p>
      <w:pPr>
        <w:pStyle w:val="Normal"/>
        <w:jc w:val="both"/>
        <w:rPr/>
      </w:pPr>
      <w:r>
        <w:rPr/>
      </w:r>
    </w:p>
    <w:p>
      <w:pPr>
        <w:pStyle w:val="Normal"/>
        <w:jc w:val="both"/>
        <w:rPr>
          <w:i/>
          <w:i/>
          <w:iCs/>
        </w:rPr>
      </w:pPr>
      <w:r>
        <w:rPr>
          <w:i/>
          <w:iCs/>
        </w:rPr>
        <w:t xml:space="preserve">It has been said that Jesus spoke these harsh words to the woman “with a twinkle in His eye”. Do you think that might be right? Why was the woman not deterred by Jesus’ words? </w:t>
      </w:r>
    </w:p>
    <w:p>
      <w:pPr>
        <w:pStyle w:val="Normal"/>
        <w:jc w:val="both"/>
        <w:rPr>
          <w:i/>
          <w:i/>
          <w:iCs/>
        </w:rPr>
      </w:pPr>
      <w:r>
        <w:rPr>
          <w:i/>
          <w:iCs/>
        </w:rPr>
      </w:r>
    </w:p>
    <w:p>
      <w:pPr>
        <w:pStyle w:val="Normal"/>
        <w:jc w:val="both"/>
        <w:rPr>
          <w:i/>
          <w:i/>
          <w:iCs/>
        </w:rPr>
      </w:pPr>
      <w:r>
        <w:rPr>
          <w:i/>
          <w:iCs/>
        </w:rPr>
        <w:t xml:space="preserve">Given that we have a special obligation to bring the gospel to </w:t>
      </w:r>
      <w:r>
        <w:rPr>
          <w:i/>
          <w:iCs/>
        </w:rPr>
        <w:t>all</w:t>
      </w:r>
      <w:r>
        <w:rPr>
          <w:i/>
          <w:iCs/>
        </w:rPr>
        <w:t>, how should this affect your church’s mission programme?</w:t>
      </w:r>
    </w:p>
    <w:p>
      <w:pPr>
        <w:pStyle w:val="BodyText"/>
        <w:jc w:val="both"/>
        <w:rPr/>
      </w:pPr>
      <w:r>
        <w:rPr/>
      </w:r>
    </w:p>
    <w:p>
      <w:pPr>
        <w:pStyle w:val="Heading3"/>
        <w:numPr>
          <w:ilvl w:val="0"/>
          <w:numId w:val="0"/>
        </w:numPr>
        <w:bidi w:val="0"/>
        <w:ind w:hanging="0" w:start="0"/>
        <w:jc w:val="both"/>
        <w:rPr/>
      </w:pPr>
      <w:r>
        <w:rPr/>
        <w:t>Questions:</w:t>
      </w:r>
    </w:p>
    <w:p>
      <w:pPr>
        <w:pStyle w:val="BodyText"/>
        <w:bidi w:val="0"/>
        <w:jc w:val="both"/>
        <w:rPr>
          <w:b w:val="false"/>
        </w:rPr>
      </w:pPr>
      <w:r>
        <w:rPr>
          <w:b w:val="false"/>
        </w:rPr>
        <w:t>Jesus changing his mind in 15:27-28 has been described as a “teachable moment,” in which Jesus learned from the woman. Yet, for some, the idea that Jesus would have anything to learn is troublesome. What is your reaction to this depiction of Jesus?</w:t>
      </w:r>
    </w:p>
    <w:p>
      <w:pPr>
        <w:pStyle w:val="Normal"/>
        <w:bidi w:val="0"/>
        <w:jc w:val="both"/>
        <w:rPr/>
      </w:pPr>
      <w:r>
        <w:rPr/>
        <w:t>Sources:</w:t>
      </w:r>
    </w:p>
    <w:p>
      <w:pPr>
        <w:pStyle w:val="Normal"/>
        <w:bidi w:val="0"/>
        <w:jc w:val="both"/>
        <w:rPr/>
      </w:pPr>
      <w:r>
        <w:rPr>
          <w:i/>
          <w:iCs/>
        </w:rPr>
        <w:t xml:space="preserve">Journey Through: </w:t>
      </w:r>
      <w:hyperlink r:id="rId2">
        <w:r>
          <w:rPr>
            <w:rStyle w:val="Hyperlink"/>
            <w:i/>
            <w:iCs/>
          </w:rPr>
          <w:t>https://journeythrough.org/courses/matthew/lessons/</w:t>
        </w:r>
      </w:hyperlink>
      <w:r>
        <w:rPr>
          <w:rStyle w:val="Hyperlink"/>
          <w:i/>
          <w:iCs/>
        </w:rPr>
        <w:t xml:space="preserve"> Day 3</w:t>
      </w:r>
      <w:r>
        <w:rPr>
          <w:rStyle w:val="Hyperlink"/>
          <w:i/>
          <w:iCs/>
        </w:rPr>
        <w:t>4</w:t>
      </w:r>
      <w:r>
        <w:rPr>
          <w:rStyle w:val="Hyperlink"/>
          <w:i/>
          <w:iCs/>
        </w:rPr>
        <w:t>-3</w:t>
      </w:r>
      <w:r>
        <w:rPr>
          <w:rStyle w:val="Hyperlink"/>
          <w:i/>
          <w:iCs/>
        </w:rPr>
        <w:t>5</w:t>
      </w:r>
    </w:p>
    <w:p>
      <w:pPr>
        <w:pStyle w:val="Normal"/>
        <w:bidi w:val="0"/>
        <w:jc w:val="both"/>
        <w:rPr/>
      </w:pPr>
      <w:r>
        <w:rPr/>
        <w:t xml:space="preserve">Yale Bible Study: </w:t>
      </w:r>
      <w:hyperlink r:id="rId3">
        <w:r>
          <w:rPr>
            <w:rStyle w:val="Hyperlink"/>
          </w:rPr>
          <w:t>https://yalebiblestudy.org/courses/the-gospel-of-matthew/</w:t>
        </w:r>
      </w:hyperlink>
    </w:p>
    <w:p>
      <w:pPr>
        <w:pStyle w:val="Normal"/>
        <w:bidi w:val="0"/>
        <w:jc w:val="both"/>
        <w:rPr/>
      </w:pPr>
      <w:r>
        <w:rPr/>
        <w:t xml:space="preserve">BibeProject: </w:t>
      </w:r>
      <w:r>
        <w:fldChar w:fldCharType="begin"/>
      </w:r>
      <w:r>
        <w:rPr>
          <w:rStyle w:val="Hyperlink"/>
        </w:rPr>
        <w:instrText xml:space="preserve"> HYPERLINK "https://bibleproject.com/guides/book-of-matthew/" \l "matthew-1-3-summary"</w:instrText>
      </w:r>
      <w:r>
        <w:rPr>
          <w:rStyle w:val="Hyperlink"/>
        </w:rPr>
        <w:fldChar w:fldCharType="separate"/>
      </w:r>
      <w:r>
        <w:rPr>
          <w:rStyle w:val="Hyperlink"/>
        </w:rPr>
        <w:t>https://bibleproject.com/guides/book-of-matthew/</w:t>
      </w:r>
      <w:r>
        <w:rPr>
          <w:rStyle w:val="Hyperlink"/>
        </w:rPr>
        <w:fldChar w:fldCharType="end"/>
      </w:r>
    </w:p>
    <w:sectPr>
      <w:footerReference w:type="even" r:id="rId4"/>
      <w:footerReference w:type="default" r:id="rId5"/>
      <w:footerReference w:type="first" r:id="rId6"/>
      <w:type w:val="nextPage"/>
      <w:pgSz w:w="11906" w:h="16838"/>
      <w:pgMar w:left="567" w:right="567" w:gutter="0" w:header="0" w:top="567" w:footer="567" w:bottom="1126"/>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1" w:characterSet="utf-8"/>
    <w:family w:val="roman"/>
    <w:pitch w:val="variable"/>
  </w:font>
  <w:font w:name="Liberation Sans">
    <w:altName w:val="Arial"/>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0" w:name="PageNumWizard_FOOTER_Default_Page_Style3"/>
    <w:r>
      <w:rPr/>
      <w:fldChar w:fldCharType="begin"/>
    </w:r>
    <w:r>
      <w:rPr/>
      <w:instrText xml:space="preserve"> PAGE </w:instrText>
    </w:r>
    <w:r>
      <w:rPr/>
      <w:fldChar w:fldCharType="separate"/>
    </w:r>
    <w:r>
      <w:rPr/>
      <w:t>2</w:t>
    </w:r>
    <w:r>
      <w:rPr/>
      <w:fldChar w:fldCharType="end"/>
    </w:r>
    <w:bookmarkEnd w:id="0"/>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center"/>
      <w:rPr/>
    </w:pPr>
    <w:bookmarkStart w:id="1" w:name="PageNumWizard_FOOTER_Default_Page_Style3"/>
    <w:r>
      <w:rPr/>
      <w:fldChar w:fldCharType="begin"/>
    </w:r>
    <w:r>
      <w:rPr/>
      <w:instrText xml:space="preserve"> PAGE </w:instrText>
    </w:r>
    <w:r>
      <w:rPr/>
      <w:fldChar w:fldCharType="separate"/>
    </w:r>
    <w:r>
      <w:rPr/>
      <w:t>2</w:t>
    </w:r>
    <w:r>
      <w:rPr/>
      <w:fldChar w:fldCharType="end"/>
    </w:r>
    <w:bookmarkEnd w:id="1"/>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rPr/>
    </w:lvl>
    <w:lvl w:ilvl="1">
      <w:start w:val="1"/>
      <w:numFmt w:val="none"/>
      <w:suff w:val="nothing"/>
      <w:lvlText w:val="%2"/>
      <w:lvlJc w:val="start"/>
      <w:pPr>
        <w:tabs>
          <w:tab w:val="num" w:pos="0"/>
        </w:tabs>
        <w:ind w:start="0" w:hanging="0"/>
      </w:pPr>
      <w:rPr/>
    </w:lvl>
    <w:lvl w:ilvl="2">
      <w:start w:val="1"/>
      <w:numFmt w:val="none"/>
      <w:suff w:val="nothing"/>
      <w:lvlText w:val="%3"/>
      <w:lvlJc w:val="start"/>
      <w:pPr>
        <w:tabs>
          <w:tab w:val="num" w:pos="0"/>
        </w:tabs>
        <w:ind w:start="0" w:hanging="0"/>
      </w:pPr>
      <w:rPr/>
    </w:lvl>
    <w:lvl w:ilvl="3">
      <w:start w:val="1"/>
      <w:numFmt w:val="none"/>
      <w:suff w:val="nothing"/>
      <w:lvlText w:val="%4"/>
      <w:lvlJc w:val="start"/>
      <w:pPr>
        <w:tabs>
          <w:tab w:val="num" w:pos="0"/>
        </w:tabs>
        <w:ind w:start="0" w:hanging="0"/>
      </w:pPr>
      <w:rPr/>
    </w:lvl>
    <w:lvl w:ilvl="4">
      <w:start w:val="1"/>
      <w:numFmt w:val="none"/>
      <w:suff w:val="nothing"/>
      <w:lvlText w:val="%5"/>
      <w:lvlJc w:val="start"/>
      <w:pPr>
        <w:tabs>
          <w:tab w:val="num" w:pos="0"/>
        </w:tabs>
        <w:ind w:start="0" w:hanging="0"/>
      </w:pPr>
      <w:rPr/>
    </w:lvl>
    <w:lvl w:ilvl="5">
      <w:start w:val="1"/>
      <w:numFmt w:val="none"/>
      <w:suff w:val="nothing"/>
      <w:lvlText w:val="%6"/>
      <w:lvlJc w:val="start"/>
      <w:pPr>
        <w:tabs>
          <w:tab w:val="num" w:pos="0"/>
        </w:tabs>
        <w:ind w:start="0" w:hanging="0"/>
      </w:pPr>
      <w:rPr/>
    </w:lvl>
    <w:lvl w:ilvl="6">
      <w:start w:val="1"/>
      <w:numFmt w:val="none"/>
      <w:suff w:val="nothing"/>
      <w:lvlText w:val="%7"/>
      <w:lvlJc w:val="start"/>
      <w:pPr>
        <w:tabs>
          <w:tab w:val="num" w:pos="0"/>
        </w:tabs>
        <w:ind w:start="0" w:hanging="0"/>
      </w:pPr>
      <w:rPr/>
    </w:lvl>
    <w:lvl w:ilvl="7">
      <w:start w:val="1"/>
      <w:numFmt w:val="none"/>
      <w:suff w:val="nothing"/>
      <w:lvlText w:val="%8"/>
      <w:lvlJc w:val="start"/>
      <w:pPr>
        <w:tabs>
          <w:tab w:val="num" w:pos="0"/>
        </w:tabs>
        <w:ind w:start="0" w:hanging="0"/>
      </w:pPr>
      <w:rPr/>
    </w:lvl>
    <w:lvl w:ilvl="8">
      <w:start w:val="1"/>
      <w:numFmt w:val="none"/>
      <w:suff w:val="nothing"/>
      <w:lvlText w:val="%9"/>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kern w:val="2"/>
        <w:sz w:val="24"/>
        <w:szCs w:val="24"/>
        <w:lang w:val="en-AU"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DejaVu Sans" w:cs="DejaVu Sans"/>
      <w:color w:val="auto"/>
      <w:kern w:val="2"/>
      <w:sz w:val="24"/>
      <w:szCs w:val="24"/>
      <w:lang w:val="en-AU"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3">
    <w:name w:val="heading 3"/>
    <w:basedOn w:val="Heading"/>
    <w:next w:val="BodyText"/>
    <w:qFormat/>
    <w:pPr>
      <w:numPr>
        <w:ilvl w:val="2"/>
        <w:numId w:val="1"/>
      </w:numPr>
      <w:spacing w:before="140" w:after="120"/>
      <w:outlineLvl w:val="2"/>
    </w:pPr>
    <w:rPr>
      <w:b/>
      <w:bCs/>
      <w:sz w:val="28"/>
      <w:szCs w:val="28"/>
    </w:rPr>
  </w:style>
  <w:style w:type="character" w:styleId="Hyperlink">
    <w:name w:val="Hyperlink"/>
    <w:rPr>
      <w:color w:val="000080"/>
      <w:u w:val="single"/>
    </w:rPr>
  </w:style>
  <w:style w:type="character" w:styleId="FollowedHyperlink">
    <w:name w:val="FollowedHyperlink"/>
    <w:rPr>
      <w:color w:val="800000"/>
      <w:u w:val="single"/>
    </w:rPr>
  </w:style>
  <w:style w:type="character" w:styleId="Emphasis">
    <w:name w:val="Emphasis"/>
    <w:qFormat/>
    <w:rPr>
      <w:i/>
      <w:iCs/>
    </w:rPr>
  </w:style>
  <w:style w:type="character" w:styleId="NumberingSymbols">
    <w:name w:val="Numbering Symbols"/>
    <w:qFormat/>
    <w:rPr/>
  </w:style>
  <w:style w:type="character" w:styleId="Bulletsuser">
    <w:name w:val="Bullets (user)"/>
    <w:qFormat/>
    <w:rPr>
      <w:rFonts w:ascii="OpenSymbol" w:hAnsi="OpenSymbol" w:eastAsia="OpenSymbol" w:cs="OpenSymbol"/>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itle">
    <w:name w:val="Title"/>
    <w:basedOn w:val="Heading"/>
    <w:next w:val="BodyText"/>
    <w:qFormat/>
    <w:pPr>
      <w:jc w:val="center"/>
    </w:pPr>
    <w:rPr>
      <w:b/>
      <w:bCs/>
      <w:sz w:val="56"/>
      <w:szCs w:val="56"/>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journeythrough.org/courses/matthew/lessons/" TargetMode="External"/><Relationship Id="rId3" Type="http://schemas.openxmlformats.org/officeDocument/2006/relationships/hyperlink" Target="https://yalebiblestudy.org/courses/the-gospel-of-matthew/lessons/introduction-to-the-course-12/"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16415</TotalTime>
  <Application>LibreOffice/25.8.2.2$Linux_X86_64 LibreOffice_project/580$Build-2</Application>
  <AppVersion>15.0000</AppVersion>
  <Pages>2</Pages>
  <Words>968</Words>
  <Characters>5006</Characters>
  <CharactersWithSpaces>5954</CharactersWithSpaces>
  <Paragraphs>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2024-10-09T16:49:30Z</dcterms:created>
  <dc:creator/>
  <dc:description/>
  <dc:language>en-AU</dc:language>
  <cp:lastModifiedBy/>
  <cp:lastPrinted>2025-11-14T16:38:51Z</cp:lastPrinted>
  <dcterms:modified xsi:type="dcterms:W3CDTF">2025-11-15T06:22:19Z</dcterms:modified>
  <cp:revision>58</cp:revision>
  <dc:subject/>
  <dc:title/>
</cp:coreProperties>
</file>

<file path=docProps/custom.xml><?xml version="1.0" encoding="utf-8"?>
<Properties xmlns="http://schemas.openxmlformats.org/officeDocument/2006/custom-properties" xmlns:vt="http://schemas.openxmlformats.org/officeDocument/2006/docPropsVTypes"/>
</file>