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The Gospel of Matthew 1</w:t>
      </w:r>
      <w:r>
        <w:rPr/>
        <w:t>2</w:t>
      </w:r>
    </w:p>
    <w:p>
      <w:pPr>
        <w:pStyle w:val="Normal"/>
        <w:bidi w:val="0"/>
        <w:jc w:val="start"/>
        <w:rPr/>
      </w:pPr>
      <w:r>
        <w:rPr/>
      </w:r>
    </w:p>
    <w:p>
      <w:pPr>
        <w:pStyle w:val="Heading3"/>
        <w:numPr>
          <w:ilvl w:val="2"/>
          <w:numId w:val="1"/>
        </w:numPr>
        <w:ind w:hanging="0" w:start="0"/>
        <w:jc w:val="both"/>
        <w:rPr/>
      </w:pPr>
      <w:r>
        <w:rPr>
          <w:rStyle w:val="Emphasis"/>
        </w:rPr>
        <w:t xml:space="preserve">Matthew Chapter 11 </w:t>
      </w:r>
    </w:p>
    <w:p>
      <w:pPr>
        <w:pStyle w:val="BodyText"/>
        <w:bidi w:val="0"/>
        <w:jc w:val="both"/>
        <w:rPr>
          <w:i/>
          <w:i/>
          <w:iCs/>
        </w:rPr>
      </w:pPr>
      <w:r>
        <w:rPr>
          <w:i/>
          <w:iCs/>
        </w:rPr>
      </w:r>
    </w:p>
    <w:p>
      <w:pPr>
        <w:pStyle w:val="Heading2"/>
        <w:numPr>
          <w:ilvl w:val="2"/>
          <w:numId w:val="1"/>
        </w:numPr>
        <w:bidi w:val="0"/>
        <w:ind w:hanging="0" w:start="0"/>
        <w:jc w:val="both"/>
        <w:rPr/>
      </w:pPr>
      <w:r>
        <w:rPr>
          <w:rStyle w:val="Emphasis"/>
          <w:rFonts w:ascii="Liberation Serif" w:hAnsi="Liberation Serif"/>
          <w:i w:val="false"/>
          <w:iCs w:val="false"/>
          <w:sz w:val="24"/>
          <w:szCs w:val="24"/>
        </w:rPr>
        <w:t>Matthew 12</w:t>
      </w:r>
      <w:r>
        <w:rPr>
          <w:rStyle w:val="Emphasis"/>
          <w:rFonts w:ascii="Liberation Serif" w:hAnsi="Liberation Serif"/>
          <w:i w:val="false"/>
          <w:iCs w:val="false"/>
          <w:sz w:val="24"/>
          <w:szCs w:val="24"/>
        </w:rPr>
        <w:t>(</w:t>
      </w:r>
      <w:r>
        <w:rPr>
          <w:rStyle w:val="Emphasis"/>
          <w:rFonts w:ascii="Liberation Serif" w:hAnsi="Liberation Serif"/>
          <w:i w:val="false"/>
          <w:iCs w:val="false"/>
          <w:sz w:val="24"/>
          <w:szCs w:val="24"/>
        </w:rPr>
        <w:t>-13</w:t>
      </w:r>
      <w:r>
        <w:rPr>
          <w:rStyle w:val="Emphasis"/>
          <w:rFonts w:ascii="Liberation Serif" w:hAnsi="Liberation Serif"/>
          <w:i w:val="false"/>
          <w:iCs w:val="false"/>
          <w:sz w:val="24"/>
          <w:szCs w:val="24"/>
        </w:rPr>
        <w:t>)</w:t>
      </w:r>
      <w:r>
        <w:rPr>
          <w:rStyle w:val="Emphasis"/>
          <w:rFonts w:ascii="Liberation Serif" w:hAnsi="Liberation Serif"/>
          <w:i w:val="false"/>
          <w:iCs w:val="false"/>
          <w:sz w:val="24"/>
          <w:szCs w:val="24"/>
        </w:rPr>
        <w:t>: Controversies and Parables</w:t>
      </w:r>
    </w:p>
    <w:p>
      <w:pPr>
        <w:pStyle w:val="BodyText"/>
        <w:jc w:val="both"/>
        <w:rPr/>
      </w:pPr>
      <w:r>
        <w:rPr/>
        <w:t>In the previous section, containing the second great Matthean discourse, Jesus commissioned his disciples to go out and preach the Gospel. In this section the ministry of Jesus in Galilee continues and frames the third great discourse, highlighting the parables of Jesus.</w:t>
      </w:r>
    </w:p>
    <w:p>
      <w:pPr>
        <w:pStyle w:val="BodyText"/>
        <w:jc w:val="both"/>
        <w:rPr/>
      </w:pPr>
      <w:r>
        <w:rPr/>
        <w:t xml:space="preserve">The stories </w:t>
      </w:r>
      <w:r>
        <w:rPr/>
        <w:t xml:space="preserve">[…] </w:t>
      </w:r>
      <w:r>
        <w:rPr/>
        <w:t xml:space="preserve">all have an air of tension. They depict Jesus evoking a critical response by his actions, saying challenging things about sin, and redefining kinship ties in a provocative way. </w:t>
      </w:r>
    </w:p>
    <w:p>
      <w:pPr>
        <w:pStyle w:val="Heading3"/>
        <w:numPr>
          <w:ilvl w:val="2"/>
          <w:numId w:val="1"/>
        </w:numPr>
        <w:spacing w:lineRule="auto" w:line="276" w:before="0" w:after="140"/>
        <w:ind w:hanging="0" w:start="0"/>
        <w:jc w:val="both"/>
        <w:rPr>
          <w:rFonts w:ascii="Liberation Serif" w:hAnsi="Liberation Serif"/>
          <w:sz w:val="24"/>
          <w:szCs w:val="24"/>
        </w:rPr>
      </w:pPr>
      <w:r>
        <w:rPr>
          <w:rStyle w:val="Emphasis"/>
          <w:rFonts w:ascii="Liberation Serif" w:hAnsi="Liberation Serif"/>
          <w:sz w:val="24"/>
          <w:szCs w:val="24"/>
        </w:rPr>
        <w:t>The Sabbath Controversies (12:1–14)</w:t>
      </w:r>
    </w:p>
    <w:p>
      <w:pPr>
        <w:pStyle w:val="BodyText"/>
        <w:jc w:val="both"/>
        <w:rPr/>
      </w:pPr>
      <w:r>
        <w:rPr/>
        <w:t>A number of stories in all the gospels tell of activity by Jesus on the Sabbath that was controversial in the eyes of some contemporaries. Many of these stories contain a defense of Jesus. Here the defense includes a Biblical precedent (vv 4–5), the citation of a scriptural principle (v 7), and an argument  (vv 11–12). The saying in verse 8 is ambiguous. If “son of man” is the simple Semitic expression for “human being,” Jesus would be arguing that general human needs trump the need to observe the Sabbath, a somewhat more liberal version of a principle found in Rabbinic literature. If “Son of Man” is understood as a reference to Jesus himself, the verse stakes out a claim that he has authority over the Sabbath. It is likely that the ambiguity was part of the saying from its first use.</w:t>
      </w:r>
    </w:p>
    <w:p>
      <w:pPr>
        <w:pStyle w:val="Heading3"/>
        <w:numPr>
          <w:ilvl w:val="0"/>
          <w:numId w:val="0"/>
        </w:numPr>
        <w:bidi w:val="0"/>
        <w:ind w:hanging="0" w:start="0"/>
        <w:jc w:val="both"/>
        <w:rPr/>
      </w:pPr>
      <w:r>
        <w:rPr>
          <w:i/>
          <w:iCs/>
        </w:rPr>
        <w:t xml:space="preserve">Questions </w:t>
      </w:r>
      <w:r>
        <w:rPr>
          <w:i/>
          <w:iCs/>
        </w:rPr>
        <w:t>(Journey Through)</w:t>
      </w:r>
      <w:r>
        <w:rPr>
          <w:i/>
          <w:iCs/>
        </w:rPr>
        <w:t>:</w:t>
      </w:r>
    </w:p>
    <w:p>
      <w:pPr>
        <w:pStyle w:val="BodyText"/>
        <w:bidi w:val="0"/>
        <w:jc w:val="both"/>
        <w:rPr>
          <w:i/>
          <w:i/>
          <w:iCs/>
        </w:rPr>
      </w:pPr>
      <w:r>
        <w:rPr>
          <w:b w:val="false"/>
          <w:i/>
          <w:iCs/>
        </w:rPr>
        <w:t>Why were the Pharisee so angry at Jesus’ behaviour on the Sabbath? Can you think of instances where we might forget that God desires mercy and not sacrifice?</w:t>
      </w:r>
    </w:p>
    <w:p>
      <w:pPr>
        <w:pStyle w:val="Heading3"/>
        <w:numPr>
          <w:ilvl w:val="2"/>
          <w:numId w:val="1"/>
        </w:numPr>
        <w:spacing w:lineRule="auto" w:line="276" w:before="0" w:after="140"/>
        <w:ind w:hanging="0" w:start="0"/>
        <w:jc w:val="both"/>
        <w:rPr/>
      </w:pPr>
      <w:r>
        <w:rPr>
          <w:rStyle w:val="Emphasis"/>
          <w:rFonts w:ascii="Liberation Serif" w:hAnsi="Liberation Serif"/>
          <w:sz w:val="24"/>
          <w:szCs w:val="24"/>
        </w:rPr>
        <w:t>Prophecy Fulfilled (12:15–21)</w:t>
      </w:r>
    </w:p>
    <w:p>
      <w:pPr>
        <w:pStyle w:val="BodyText"/>
        <w:jc w:val="both"/>
        <w:rPr/>
      </w:pPr>
      <w:r>
        <w:rPr/>
        <w:t>After an introduction, in which Jesus tries to keep his identity quiet, the narrator intervenes by citing Isaiah 42:1–4. Matthew’s citation serves several purposes. Here in the middle of the gospel, the prophetic text reminds the reader of the ultimate scope of Jesus’ mission, to “proclaim justice to the Gentiles.” The last verse (v 21) of the citation sounds a similar note in declaring that “in his name the Gentiles will hope.”</w:t>
      </w:r>
    </w:p>
    <w:p>
      <w:pPr>
        <w:pStyle w:val="Heading3"/>
        <w:numPr>
          <w:ilvl w:val="2"/>
          <w:numId w:val="1"/>
        </w:numPr>
        <w:spacing w:lineRule="auto" w:line="276" w:before="0" w:after="140"/>
        <w:ind w:hanging="0" w:start="0"/>
        <w:jc w:val="both"/>
        <w:rPr/>
      </w:pPr>
      <w:r>
        <w:rPr>
          <w:rStyle w:val="Emphasis"/>
          <w:rFonts w:ascii="Liberation Serif" w:hAnsi="Liberation Serif"/>
          <w:sz w:val="24"/>
          <w:szCs w:val="24"/>
        </w:rPr>
        <w:t>Jesus and Beelzebul (12:22-31)</w:t>
      </w:r>
    </w:p>
    <w:p>
      <w:pPr>
        <w:pStyle w:val="BodyText"/>
        <w:jc w:val="both"/>
        <w:rPr/>
      </w:pPr>
      <w:r>
        <w:rPr/>
        <w:t xml:space="preserve">All the gospels except John report that Jesus was, among other things, an exorcist. The saying recorded in v 28 may well express a conviction of Jesus himself that the effectiveness of his exorcisms was a ground for belief that the reign of God was being realized in and through him. </w:t>
      </w:r>
    </w:p>
    <w:p>
      <w:pPr>
        <w:pStyle w:val="BodyText"/>
        <w:jc w:val="both"/>
        <w:rPr/>
      </w:pPr>
      <w:r>
        <w:rPr/>
        <w:t xml:space="preserve">The actions of Jesus, like his Sabbath behavior, were a source of controversy. The accusation lodged here that Jesus was a minion of “Beelzebul,” the “ruler of the demons” (v 24), was one of the charges made against him. The response initially appeals to common sense. If Jesus is expelling demons he cannot be an instrument of the demonic realm. Another saying bolsters the defense (v 29). In it, Jesus compares himself to a burglar who, in order to be successful, must tie up the “strong man” who owns the house he is invading. The saying </w:t>
      </w:r>
      <w:r>
        <w:rPr/>
        <w:t>is ver</w:t>
      </w:r>
      <w:r>
        <w:rPr/>
        <w:t xml:space="preserve">y provocative , Jesus is like a thief. </w:t>
      </w:r>
    </w:p>
    <w:p>
      <w:pPr>
        <w:pStyle w:val="BodyText"/>
        <w:jc w:val="both"/>
        <w:rPr>
          <w:b w:val="false"/>
          <w:bCs w:val="false"/>
        </w:rPr>
      </w:pPr>
      <w:r>
        <w:rPr>
          <w:b w:val="false"/>
          <w:bCs w:val="false"/>
        </w:rPr>
        <w:t xml:space="preserve">The notion that there is an “unforgivable sin” </w:t>
      </w:r>
      <w:r>
        <w:rPr>
          <w:b w:val="false"/>
          <w:bCs w:val="false"/>
        </w:rPr>
        <w:t xml:space="preserve">is </w:t>
      </w:r>
      <w:r>
        <w:rPr>
          <w:b w:val="false"/>
          <w:bCs w:val="false"/>
        </w:rPr>
        <w:t xml:space="preserve">understood by many interpreters as the obstinate refusal to accept divine forgiveness. </w:t>
      </w:r>
    </w:p>
    <w:p>
      <w:pPr>
        <w:pStyle w:val="Heading3"/>
        <w:numPr>
          <w:ilvl w:val="2"/>
          <w:numId w:val="1"/>
        </w:numPr>
        <w:spacing w:lineRule="auto" w:line="276" w:before="0" w:after="140"/>
        <w:ind w:hanging="0" w:start="0"/>
        <w:jc w:val="both"/>
        <w:rPr>
          <w:rFonts w:ascii="Liberation Serif" w:hAnsi="Liberation Serif"/>
          <w:sz w:val="24"/>
          <w:szCs w:val="24"/>
        </w:rPr>
      </w:pPr>
      <w:r>
        <w:rPr>
          <w:rStyle w:val="Emphasis"/>
          <w:rFonts w:ascii="Liberation Serif" w:hAnsi="Liberation Serif"/>
          <w:sz w:val="24"/>
          <w:szCs w:val="24"/>
        </w:rPr>
        <w:t>Good and Bad Fruit and Trees (12:33–37)</w:t>
      </w:r>
    </w:p>
    <w:p>
      <w:pPr>
        <w:pStyle w:val="BodyText"/>
        <w:jc w:val="both"/>
        <w:rPr/>
      </w:pPr>
      <w:r>
        <w:rPr/>
        <w:t xml:space="preserve">The contrast between good and bad trees and their fruit already appeared in the Sermon on the Mount (Matt 7:17–19), and the threat that bad trees would be cut down and burned appeared in the preaching of John (Matt 3:10). The application of the imagery is immediately made clear. The “bad trees” are the “brood of vipers” who have challenged Jesus (v 34). The harsh condemnation is followed by further evocations of eschatological </w:t>
      </w:r>
      <w:r>
        <w:rPr/>
        <w:t xml:space="preserve">[end of days] </w:t>
      </w:r>
      <w:r>
        <w:rPr/>
        <w:t>judgment (vv 36–37).</w:t>
      </w:r>
    </w:p>
    <w:p>
      <w:pPr>
        <w:pStyle w:val="Heading3"/>
        <w:numPr>
          <w:ilvl w:val="2"/>
          <w:numId w:val="1"/>
        </w:numPr>
        <w:spacing w:lineRule="auto" w:line="276" w:before="0" w:after="140"/>
        <w:ind w:hanging="0" w:start="0"/>
        <w:jc w:val="both"/>
        <w:rPr>
          <w:rFonts w:ascii="Liberation Serif" w:hAnsi="Liberation Serif"/>
          <w:sz w:val="24"/>
          <w:szCs w:val="24"/>
        </w:rPr>
      </w:pPr>
      <w:r>
        <w:rPr>
          <w:rStyle w:val="Emphasis"/>
          <w:rFonts w:ascii="Liberation Serif" w:hAnsi="Liberation Serif"/>
          <w:sz w:val="24"/>
          <w:szCs w:val="24"/>
        </w:rPr>
        <w:t>The Sign of Jonah (12:38–42)</w:t>
      </w:r>
    </w:p>
    <w:p>
      <w:pPr>
        <w:pStyle w:val="BodyText"/>
        <w:jc w:val="both"/>
        <w:rPr/>
      </w:pPr>
      <w:r>
        <w:rPr/>
        <w:t xml:space="preserve">In response to a challenge for a “sign” authorizing Jesus to do what he does, he responds with another harsh reproof of the “wicked and adulterous generation.” He proceeds to tell them about an unexpected sign, the return of the Son of Man from the earth after three days and three nights, an event likened to the return of Jonah from the belly of the great fish. The allusion to the resurrection of Jesus, here clearly equated with the “Son of Man,” is Matthew’s interpretation of the saying about Jonah. </w:t>
      </w:r>
    </w:p>
    <w:p>
      <w:pPr>
        <w:pStyle w:val="Heading3"/>
        <w:numPr>
          <w:ilvl w:val="0"/>
          <w:numId w:val="0"/>
        </w:numPr>
        <w:bidi w:val="0"/>
        <w:ind w:hanging="0" w:start="0"/>
        <w:jc w:val="both"/>
        <w:rPr>
          <w:i/>
          <w:i/>
          <w:iCs/>
        </w:rPr>
      </w:pPr>
      <w:r>
        <w:rPr>
          <w:i/>
          <w:iCs/>
        </w:rPr>
        <w:t xml:space="preserve">Questions </w:t>
      </w:r>
      <w:r>
        <w:rPr>
          <w:i/>
          <w:iCs/>
        </w:rPr>
        <w:t>(Journey Through)</w:t>
      </w:r>
      <w:r>
        <w:rPr>
          <w:i/>
          <w:iCs/>
        </w:rPr>
        <w:t>:</w:t>
      </w:r>
    </w:p>
    <w:p>
      <w:pPr>
        <w:pStyle w:val="BodyText"/>
        <w:bidi w:val="0"/>
        <w:jc w:val="both"/>
        <w:rPr>
          <w:i/>
          <w:i/>
          <w:iCs/>
        </w:rPr>
      </w:pPr>
      <w:r>
        <w:rPr>
          <w:b w:val="false"/>
          <w:i/>
          <w:iCs/>
        </w:rPr>
        <w:t xml:space="preserve">When people as God for a sign, what do you think they are looking for? Is it every right to ask for a sign? </w:t>
      </w:r>
    </w:p>
    <w:p>
      <w:pPr>
        <w:pStyle w:val="Heading3"/>
        <w:numPr>
          <w:ilvl w:val="2"/>
          <w:numId w:val="1"/>
        </w:numPr>
        <w:spacing w:lineRule="auto" w:line="276" w:before="0" w:after="140"/>
        <w:ind w:hanging="0" w:start="0"/>
        <w:jc w:val="both"/>
        <w:rPr/>
      </w:pPr>
      <w:r>
        <w:rPr>
          <w:rStyle w:val="Emphasis"/>
          <w:rFonts w:ascii="Liberation Serif" w:hAnsi="Liberation Serif"/>
          <w:sz w:val="24"/>
          <w:szCs w:val="24"/>
        </w:rPr>
        <w:t>Unclean Spirits (12:43–45)</w:t>
      </w:r>
    </w:p>
    <w:p>
      <w:pPr>
        <w:pStyle w:val="BodyText"/>
        <w:jc w:val="both"/>
        <w:rPr/>
      </w:pPr>
      <w:r>
        <w:rPr/>
        <w:t xml:space="preserve">The observation about how difficult it is to get rid of “evil spirits,” is likely to be a saying that stems from Jesus himself. </w:t>
      </w:r>
    </w:p>
    <w:p>
      <w:pPr>
        <w:pStyle w:val="Heading3"/>
        <w:numPr>
          <w:ilvl w:val="2"/>
          <w:numId w:val="1"/>
        </w:numPr>
        <w:spacing w:lineRule="auto" w:line="276" w:before="0" w:after="140"/>
        <w:ind w:hanging="0" w:start="0"/>
        <w:jc w:val="both"/>
        <w:rPr>
          <w:rFonts w:ascii="Liberation Serif" w:hAnsi="Liberation Serif"/>
          <w:sz w:val="24"/>
          <w:szCs w:val="24"/>
        </w:rPr>
      </w:pPr>
      <w:r>
        <w:rPr>
          <w:rStyle w:val="Emphasis"/>
          <w:rFonts w:ascii="Liberation Serif" w:hAnsi="Liberation Serif"/>
          <w:sz w:val="24"/>
          <w:szCs w:val="24"/>
        </w:rPr>
        <w:t>True Kin (12:46–50)</w:t>
      </w:r>
    </w:p>
    <w:p>
      <w:pPr>
        <w:pStyle w:val="BodyText"/>
        <w:jc w:val="both"/>
        <w:rPr/>
      </w:pPr>
      <w:r>
        <w:rPr/>
        <w:t>This is another case where long familiarity with a saying of Jesus blunts its highly provocative character. In a society that highly valued kinship ties, the preference for the intentional community of disciples is highly subversive.</w:t>
      </w:r>
    </w:p>
    <w:p>
      <w:pPr>
        <w:pStyle w:val="BodyText"/>
        <w:jc w:val="both"/>
        <w:rPr/>
      </w:pPr>
      <w:r>
        <w:rPr/>
      </w:r>
    </w:p>
    <w:p>
      <w:pPr>
        <w:pStyle w:val="Heading3"/>
        <w:numPr>
          <w:ilvl w:val="0"/>
          <w:numId w:val="0"/>
        </w:numPr>
        <w:bidi w:val="0"/>
        <w:ind w:hanging="0" w:start="0"/>
        <w:jc w:val="both"/>
        <w:rPr/>
      </w:pPr>
      <w:r>
        <w:rPr/>
        <w:t>Questions:</w:t>
      </w:r>
    </w:p>
    <w:p>
      <w:pPr>
        <w:pStyle w:val="BodyText"/>
        <w:bidi w:val="0"/>
        <w:jc w:val="both"/>
        <w:rPr/>
      </w:pPr>
      <w:r>
        <w:rPr>
          <w:b w:val="false"/>
        </w:rPr>
        <w:t>1.</w:t>
        <w:tab/>
      </w:r>
      <w:r>
        <w:rPr>
          <w:b w:val="false"/>
        </w:rPr>
        <w:t>The notion that Jesus was a source of controversy runs through these chapters. What were the major reasons, as Matthew understands them, for that situation?</w:t>
      </w:r>
    </w:p>
    <w:p>
      <w:pPr>
        <w:pStyle w:val="BodyText"/>
        <w:bidi w:val="0"/>
        <w:jc w:val="both"/>
        <w:rPr/>
      </w:pPr>
      <w:r>
        <w:rPr>
          <w:b w:val="false"/>
        </w:rPr>
        <w:t xml:space="preserve">2. </w:t>
        <w:tab/>
      </w:r>
      <w:r>
        <w:rPr>
          <w:b w:val="false"/>
        </w:rPr>
        <w:t>Jesus takes on the role of provoking controversy throughout the Gospel of Matthew. How should modern Christians understand our role in society?</w:t>
      </w:r>
      <w:r>
        <w:rPr/>
        <w:t xml:space="preserve"> </w:t>
      </w:r>
    </w:p>
    <w:p>
      <w:pPr>
        <w:pStyle w:val="BodyText"/>
        <w:bidi w:val="0"/>
        <w:jc w:val="both"/>
        <w:rPr/>
      </w:pPr>
      <w:r>
        <w:rPr/>
      </w:r>
    </w:p>
    <w:p>
      <w:pPr>
        <w:pStyle w:val="Normal"/>
        <w:bidi w:val="0"/>
        <w:jc w:val="both"/>
        <w:rPr/>
      </w:pPr>
      <w:r>
        <w:rPr/>
        <w:t>Sources:</w:t>
      </w:r>
    </w:p>
    <w:p>
      <w:pPr>
        <w:pStyle w:val="Normal"/>
        <w:bidi w:val="0"/>
        <w:jc w:val="both"/>
        <w:rPr/>
      </w:pPr>
      <w:r>
        <w:rPr/>
        <w:t xml:space="preserve">Journey Through: </w:t>
      </w:r>
      <w:hyperlink r:id="rId2">
        <w:r>
          <w:rPr>
            <w:rStyle w:val="Hyperlink"/>
          </w:rPr>
          <w:t>https://journeythrough.org/courses/matthew/lessons/</w:t>
        </w:r>
      </w:hyperlink>
    </w:p>
    <w:p>
      <w:pPr>
        <w:pStyle w:val="Normal"/>
        <w:bidi w:val="0"/>
        <w:jc w:val="both"/>
        <w:rPr/>
      </w:pPr>
      <w:r>
        <w:rPr/>
        <w:t xml:space="preserve">Yale Bible Study: </w:t>
      </w:r>
      <w:hyperlink r:id="rId3">
        <w:r>
          <w:rPr>
            <w:rStyle w:val="Hyperlink"/>
          </w:rPr>
          <w:t>https://yalebiblestudy.org/courses/the-gospel-of-matthew/</w:t>
        </w:r>
      </w:hyperlink>
    </w:p>
    <w:p>
      <w:pPr>
        <w:pStyle w:val="Normal"/>
        <w:bidi w:val="0"/>
        <w:jc w:val="both"/>
        <w:rPr/>
      </w:pPr>
      <w:r>
        <w:rPr/>
        <w:t xml:space="preserve">BibeProject: </w:t>
      </w:r>
      <w:r>
        <w:fldChar w:fldCharType="begin"/>
      </w:r>
      <w:r>
        <w:rPr>
          <w:rStyle w:val="Hyperlink"/>
        </w:rPr>
        <w:instrText xml:space="preserve"> HYPERLINK "https://bibleproject.com/guides/book-of-matthew/" \l "matthew-1-3-summary"</w:instrText>
      </w:r>
      <w:r>
        <w:rPr>
          <w:rStyle w:val="Hyperlink"/>
        </w:rPr>
        <w:fldChar w:fldCharType="separate"/>
      </w:r>
      <w:r>
        <w:rPr>
          <w:rStyle w:val="Hyperlink"/>
        </w:rPr>
        <w:t>https://bibleproject.com/guides/book-of-matthew/</w:t>
      </w:r>
      <w:r>
        <w:rPr>
          <w:rStyle w:val="Hyperlink"/>
        </w:rPr>
        <w:fldChar w:fldCharType="end"/>
      </w:r>
    </w:p>
    <w:sectPr>
      <w:footerReference w:type="even" r:id="rId4"/>
      <w:footerReference w:type="default" r:id="rId5"/>
      <w:footerReference w:type="first" r:id="rId6"/>
      <w:type w:val="nextPage"/>
      <w:pgSz w:w="11906" w:h="16838"/>
      <w:pgMar w:left="567" w:right="567" w:gutter="0" w:header="0" w:top="567" w:footer="567" w:bottom="112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3"/>
    <w:r>
      <w:rPr/>
      <w:fldChar w:fldCharType="begin"/>
    </w:r>
    <w:r>
      <w:rPr/>
      <w:instrText xml:space="preserve"> PAGE </w:instrText>
    </w:r>
    <w:r>
      <w:rPr/>
      <w:fldChar w:fldCharType="separate"/>
    </w:r>
    <w:r>
      <w:rPr/>
      <w:t>2</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Default_Page_Style3"/>
    <w:r>
      <w:rPr/>
      <w:fldChar w:fldCharType="begin"/>
    </w:r>
    <w:r>
      <w:rPr/>
      <w:instrText xml:space="preserve"> PAGE </w:instrText>
    </w:r>
    <w:r>
      <w:rPr/>
      <w:fldChar w:fldCharType="separate"/>
    </w:r>
    <w:r>
      <w:rPr/>
      <w:t>2</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DejaVu Sans" w:cs="DejaVu Sans"/>
      <w:color w:val="auto"/>
      <w:kern w:val="2"/>
      <w:sz w:val="24"/>
      <w:szCs w:val="24"/>
      <w:lang w:val="en-AU"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Heading"/>
    <w:next w:val="BodyText"/>
    <w:qFormat/>
    <w:pPr>
      <w:jc w:val="center"/>
    </w:pPr>
    <w:rPr>
      <w:b/>
      <w:bCs/>
      <w:sz w:val="56"/>
      <w:szCs w:val="5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ourneythrough.org/courses/matthew/lessons/day-1-10/" TargetMode="External"/><Relationship Id="rId3" Type="http://schemas.openxmlformats.org/officeDocument/2006/relationships/hyperlink" Target="https://yalebiblestudy.org/courses/the-gospel-of-matthew/lessons/introduction-to-the-course-1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13740</TotalTime>
  <Application>LibreOffice/25.2.4.3$Linux_X86_64 LibreOffice_project/520$Build-3</Application>
  <AppVersion>15.0000</AppVersion>
  <Pages>2</Pages>
  <Words>867</Words>
  <Characters>4341</Characters>
  <CharactersWithSpaces>5174</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2024-10-09T16:49:30Z</dcterms:created>
  <dc:creator/>
  <dc:description/>
  <dc:language>en-AU</dc:language>
  <cp:lastModifiedBy/>
  <cp:lastPrinted>2024-11-02T15:53:27Z</cp:lastPrinted>
  <dcterms:modified xsi:type="dcterms:W3CDTF">2025-07-11T14:24:30Z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